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8"/>
        <w:gridCol w:w="5377"/>
        <w:tblGridChange w:id="0">
          <w:tblGrid>
            <w:gridCol w:w="3968"/>
            <w:gridCol w:w="53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1.ИНФОРМАЦИЯ ОБ ОРГАНИЗАЦИИ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организации полное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Муниципальное казенное учреждение «Колтушская централизованная клубная система»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организации сокращенное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МКУ «Колтушская ЦКС»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4703033110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КПП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470301001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ОГРН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1034700565052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ОКПО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43511320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ОКАТО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41212816001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ОКТМО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41612104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ОКОГУ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4210007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ОКФС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ОКОПФ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75404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ОКВЭД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90.04.3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188680, Ленинградская область, Всеволожский район,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Колтуши, ул. Озерная, д.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Почтовый адрес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188680, Ленинградская область, Всеволожский район,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г. Колтуши, ул. Озерная, д.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Расчетный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hd w:fill="ffffff" w:val="clear"/>
              <w:spacing w:line="274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03231643416121044500 (казначейский)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СЕВЕРО-ЗАПАДНОЕ ГУ БАНКА РОССИИ//УФК по Ленинградской области, г. Санкт-Петербург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044030098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Кор. счет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40102810745370000098 (единый казначейский)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Л/счет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02.0801.0067.1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Тел. факс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8(81370)71750 доб. 205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koltushi.cks@yandex.ru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2.РУКОВОДСТВО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Директор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Чирко Наталья Викторовна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действует на основании Устава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Гл.бухгалтер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Кудрявцева Светлана Николаевна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в преамбулу договора ОБЯЗАТЕЛЬНО писать: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Муниципальное казенное учреждение «Колтушская централизованная клубная система» (МКУ «Колтушская ЦКС»), действующее от имени Колтушского городского поселения Всеволожского муниципального района Ленинградской области</w:t>
      </w:r>
    </w:p>
    <w:p w:rsidR="00000000" w:rsidDel="00000000" w:rsidP="00000000" w:rsidRDefault="00000000" w:rsidRPr="00000000" w14:paraId="0000003D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И добавить ссылку на закон перед фразой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[</w:t>
      </w:r>
      <w:r w:rsidDel="00000000" w:rsidR="00000000" w:rsidRPr="00000000">
        <w:rPr>
          <w:b w:val="1"/>
          <w:color w:val="ff0000"/>
          <w:rtl w:val="0"/>
        </w:rPr>
        <w:t xml:space="preserve">заключили настоящий договор о нижеследующем]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на основании пункта 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(уточнять у Заказчика)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части 1 статьи 93 Федерального закона от 05.04.2013 № 44-ФЗ «О контрактной системе в сфере закупок товаров, работ, услуг для обеспечения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государственных и муниципальных нужд» …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